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7513" w:type="dxa"/>
        <w:tblInd w:w="659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513"/>
      </w:tblGrid>
      <w:tr>
        <w:tblPrEx/>
        <w:trPr>
          <w:trHeight w:val="215"/>
        </w:trPr>
        <w:tc>
          <w:tcPr>
            <w:shd w:val="clear" w:color="auto" w:fill="auto"/>
            <w:tcW w:w="7513" w:type="dxa"/>
            <w:vAlign w:val="bottom"/>
            <w:textDirection w:val="lrTb"/>
            <w:noWrap w:val="false"/>
          </w:tcPr>
          <w:p>
            <w:pPr>
              <w:pStyle w:val="664"/>
              <w:contextualSpacing/>
              <w:ind w:left="0" w:right="113" w:firstLine="2835"/>
              <w:jc w:val="left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Приложение 3</w:t>
            </w:r>
            <w:r/>
          </w:p>
        </w:tc>
      </w:tr>
      <w:tr>
        <w:tblPrEx/>
        <w:trPr>
          <w:trHeight w:val="215"/>
        </w:trPr>
        <w:tc>
          <w:tcPr>
            <w:shd w:val="clear" w:color="auto" w:fill="auto"/>
            <w:tcW w:w="7513" w:type="dxa"/>
            <w:vAlign w:val="bottom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к решению Думы</w:t>
            </w:r>
            <w:r/>
          </w:p>
        </w:tc>
      </w:tr>
      <w:tr>
        <w:tblPrEx/>
        <w:trPr>
          <w:trHeight w:val="215"/>
        </w:trPr>
        <w:tc>
          <w:tcPr>
            <w:shd w:val="clear" w:color="auto" w:fill="auto"/>
            <w:tcW w:w="7513" w:type="dxa"/>
            <w:vAlign w:val="bottom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Уссурийского городского округа</w:t>
            </w:r>
            <w:r/>
          </w:p>
        </w:tc>
      </w:tr>
      <w:tr>
        <w:tblPrEx/>
        <w:trPr>
          <w:trHeight w:val="215"/>
        </w:trPr>
        <w:tc>
          <w:tcPr>
            <w:shd w:val="clear" w:color="auto" w:fill="auto"/>
            <w:tcW w:w="7513" w:type="dxa"/>
            <w:vAlign w:val="bottom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spacing w:before="0" w:after="0" w:line="240" w:lineRule="auto"/>
              <w:widowControl w:val="off"/>
            </w:pPr>
            <w:r>
              <w:t xml:space="preserve">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Приморского края</w:t>
            </w:r>
            <w:r/>
          </w:p>
        </w:tc>
      </w:tr>
      <w:tr>
        <w:tblPrEx/>
        <w:trPr>
          <w:trHeight w:val="215"/>
        </w:trPr>
        <w:tc>
          <w:tcPr>
            <w:shd w:val="clear" w:color="auto" w:fill="auto"/>
            <w:tcW w:w="7513" w:type="dxa"/>
            <w:vAlign w:val="bottom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от  №</w:t>
            </w:r>
            <w:r/>
          </w:p>
        </w:tc>
      </w:tr>
      <w:tr>
        <w:tblPrEx/>
        <w:trPr>
          <w:trHeight w:val="215" w:hRule="exact"/>
        </w:trPr>
        <w:tc>
          <w:tcPr>
            <w:shd w:val="clear" w:color="auto" w:fill="auto"/>
            <w:tcW w:w="7513" w:type="dxa"/>
            <w:vAlign w:val="bottom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215"/>
        </w:trPr>
        <w:tc>
          <w:tcPr>
            <w:shd w:val="clear" w:color="auto" w:fill="auto"/>
            <w:tcW w:w="7513" w:type="dxa"/>
            <w:vAlign w:val="bottom"/>
            <w:textDirection w:val="lrTb"/>
            <w:noWrap w:val="false"/>
          </w:tcPr>
          <w:p>
            <w:pPr>
              <w:pStyle w:val="664"/>
              <w:contextualSpacing/>
              <w:ind w:left="0" w:right="113" w:firstLine="2891"/>
              <w:jc w:val="left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«Приложение 3</w:t>
            </w:r>
            <w:r/>
          </w:p>
        </w:tc>
      </w:tr>
      <w:tr>
        <w:tblPrEx/>
        <w:trPr>
          <w:trHeight w:val="300"/>
        </w:trPr>
        <w:tc>
          <w:tcPr>
            <w:shd w:val="clear" w:color="auto" w:fill="auto"/>
            <w:tcW w:w="7513" w:type="dxa"/>
            <w:vAlign w:val="bottom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к решению Думы</w:t>
            </w:r>
            <w:r/>
          </w:p>
        </w:tc>
      </w:tr>
      <w:tr>
        <w:tblPrEx/>
        <w:trPr>
          <w:trHeight w:val="330"/>
        </w:trPr>
        <w:tc>
          <w:tcPr>
            <w:shd w:val="clear" w:color="auto" w:fill="auto"/>
            <w:tcW w:w="7513" w:type="dxa"/>
            <w:vAlign w:val="bottom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Уссурийского городского округа</w:t>
            </w:r>
            <w:r/>
          </w:p>
        </w:tc>
      </w:tr>
      <w:tr>
        <w:tblPrEx/>
        <w:trPr>
          <w:trHeight w:val="330"/>
        </w:trPr>
        <w:tc>
          <w:tcPr>
            <w:shd w:val="clear" w:color="auto" w:fill="auto"/>
            <w:tcW w:w="7513" w:type="dxa"/>
            <w:vAlign w:val="bottom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spacing w:before="0" w:after="0" w:line="240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Приморского края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271"/>
        </w:trPr>
        <w:tc>
          <w:tcPr>
            <w:shd w:val="clear" w:color="auto" w:fill="auto"/>
            <w:tcW w:w="7513" w:type="dxa"/>
            <w:vAlign w:val="bottom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от 16 декабря 2025 года № 337-НПА</w:t>
            </w:r>
            <w:r/>
          </w:p>
        </w:tc>
      </w:tr>
    </w:tbl>
    <w:p>
      <w:pPr>
        <w:pStyle w:val="664"/>
        <w:contextualSpacing/>
        <w:ind w:left="0" w:right="0" w:firstLine="0"/>
        <w:jc w:val="center"/>
        <w:spacing w:before="0"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64"/>
        <w:contextualSpacing/>
        <w:ind w:left="0" w:right="0" w:firstLine="0"/>
        <w:jc w:val="center"/>
        <w:spacing w:before="0"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Объемы доходов бюджета Уссурийского городского округа Приморского края </w:t>
      </w:r>
      <w:r>
        <w:rPr>
          <w:sz w:val="28"/>
          <w:szCs w:val="28"/>
        </w:rPr>
      </w:r>
    </w:p>
    <w:p>
      <w:pPr>
        <w:contextualSpacing/>
        <w:ind w:left="0" w:right="0" w:firstLine="0"/>
        <w:jc w:val="center"/>
        <w:spacing w:before="0" w:after="0" w:line="240" w:lineRule="auto"/>
        <w:widowControl w:val="off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2026 год и плановый период 2025 и 2028 годов</w:t>
      </w:r>
      <w:r>
        <w:rPr>
          <w:sz w:val="28"/>
          <w:szCs w:val="28"/>
        </w:rPr>
      </w:r>
      <w:r/>
    </w:p>
    <w:p>
      <w:pPr>
        <w:pStyle w:val="664"/>
        <w:contextualSpacing/>
        <w:ind w:left="0" w:right="0" w:firstLine="0"/>
        <w:jc w:val="right"/>
        <w:spacing w:before="0" w:after="0" w:line="240" w:lineRule="auto"/>
        <w:widowControl w:val="off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рублей</w:t>
      </w:r>
      <w:r>
        <w:rPr>
          <w:sz w:val="28"/>
          <w:szCs w:val="28"/>
        </w:rPr>
      </w:r>
    </w:p>
    <w:tbl>
      <w:tblPr>
        <w:tblW w:w="14283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2"/>
        <w:gridCol w:w="5211"/>
        <w:gridCol w:w="2126"/>
        <w:gridCol w:w="2126"/>
        <w:gridCol w:w="2128"/>
      </w:tblGrid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Код бюджетной классификации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vAlign w:val="center"/>
            <w:vMerge w:val="restart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380" w:type="dxa"/>
            <w:vAlign w:val="center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Объемы доходов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vAlign w:val="center"/>
            <w:vMerge w:val="continue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vAlign w:val="center"/>
            <w:vMerge w:val="continue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2026 год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2027 год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vAlign w:val="center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2028 год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vAlign w:val="bottom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vAlign w:val="bottom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664"/>
              <w:contextualSpacing/>
              <w:ind w:left="0" w:right="0"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1 00 00000 00 0000 000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НАЛОГОВЫЕ И НЕНАЛОГОВЫЕ ДОХОДЫ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5 272 410 290,00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4 801 087 810,00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4 832 474 510,00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НАЛОГОВЫЕ ДОХОДЫ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4 830 931 000,00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4 448 582 000,00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4 488 166 000,00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НАЛОГИ НА ПРИБЫЛЬ, ДОХОДЫ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4 233 640 000,00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3 819 812 000,00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3 846 960 000,00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1 01 02000 01 0000 110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4 233 640 000,00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3 819 812 000,00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3 846 960 000,00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1 03 02000 01 0000 110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АКЦИЗЫ ПО ПОДАКЦИЗНЫМ ТОВАРАМ (ПРОДУКЦИИ), ПРОИЗВОДИМЫМ НА ТЕРРИТОРИИ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70 650 000,00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95 470 000,00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99 584 000,00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1 03 03000 01 0000 110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ТУРИСТИЧЕСКИЙ 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14 190 000,00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21 285 000,00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28 380 000,00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НАЛОГИ НА СОВОКУПНЫЙ ДОХОД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33 611 000,00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35 719 000,00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36 488 000,00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1 05 03000 01 0000 110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Единый сельскохозяйственный налог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10 193 000,00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10 454 000,00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10 454 000,00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1 05 04010 02 0000 110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Налог, взимаемый в связи с применением патентной системы налогообложения, зачисляемый в бюджеты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23 418 000,00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25 265 000,00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26 034 000,00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НАЛОГИ НА ИМУЩЕСТВО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380 340 000,00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377 796 000,00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378 254 000,00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1 06 01020 04 0000 110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190 184 000,00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190 640 000,00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191 098 000,00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1 06 06000 00 0000 110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налог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190 156 000,00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187 156 000,00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187 156 000,00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ПОШЛИНА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98 500 000,00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98 500 000,00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98 500 000,00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1 08 03010 01 0000 110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97 800 000,00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97 800 000,00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97 800 000,00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1 08 07150 01 0000 110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НЕНАЛОГОВЫЕ ДОХОДЫ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441 479 290,00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352 505 810,00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344 308 510,00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236 088 020,00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210 881 250,00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204 327 070,00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1 11 01040 04 0000 120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1 000 000,00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1 100 000,00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1 250 000,00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1 11 05000 00 0000 120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190 115 900,00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164 605 800,00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157 719 800,00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1 11 05012 04 0000 120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165 280 000,00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139 850 000,00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132 900 000,00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1 11 05024 04 0000 120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учреждении)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854 400,00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852 700,00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852 700,00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1 11 05034 04 0000 120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2 072 000,00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2 134 000,00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2 198 000,00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1 11 05074 04 0000 120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сдачи в аренду имущества, составляющего казну городских округов (за исключением земельных участков)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21 909 500,00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21 769 100,00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21 769 100,00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1 11 07014 04 0000 120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422 600,00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439 500,00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457 100,00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1 11 09044 04 0000 120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30 000 000,00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30 000 000,00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30 000 000,00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1 11 09080 04 0000 120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14 549 520,00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14 735 950,00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14 900 170,00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1 12 00000 00 0000 000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ПЛАТЕЖИ ПРИ ПОЛЬЗОВАНИИ ПРИРОДНЫМИ РЕСУРСАМИ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9 000 000,00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1 12 01000 01 0000 120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негативное воздействие на окружающую среду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9 000 000,00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ОКАЗАНИЯ ПЛАТНЫХ УСЛУГ И КОМПЕНСАЦИИ ЗАТРАТ ГОСУДАРСТВА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26 296 080,00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21 740 670,00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20 238 350,00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1 13 01074 04 0000 130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1 13 01994 04 0000 130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1 280 000,00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1 280 000,00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1 280 000,00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1 13 02064 04 0000 130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658 680,00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690 460,00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696 690,00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1 13 02994 04 0000 130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24 177 400,00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19 590 210,00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17 941 660,00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ПРОДАЖИ МАТЕРИАЛЬНЫХ И НЕМАТЕРИАЛЬНЫХ АКТИВОВ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163 304 300,00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113 163 000,00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113 022 200,00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1 14 02040 04 0000 410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реализации имущества, находящегося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2 922 300,00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2 781 000,00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2 640 200,00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1 14 06012 04 0000 430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134 082 000,00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84 082 000,00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84 082 000,00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1 14 06312 04 0000 430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26 300 000,00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26 300 000,00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26 300 000,00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1 15 00000 00 0000 000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ПЛАТЕЖИ И СБОРЫ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1 650 000,00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1 650 000,00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1 650 000,00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ШТРАФЫ, САНКЦИИ, ВОЗМЕЩЕНИЕ УЩЕРБА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5 060 000,00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5 060 000,00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5 060 000,00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1 17 00000 00 0000 000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80 890,00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10 890,00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10 890,00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1 17 05040 04 0000 180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10 890,00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10 890,00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10 890,00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1 17 15020 04 0000 150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Инициативные платежи, зачисляемые в бюджеты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2 00 00000 00 0000 000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БЕЗВОЗМЕЗДНЫЕ ПОСТУПЛЕНИЯ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6 896 837 407,73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8 180 024 231,38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8 458 664 617,58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2 02 00000 00 0000 000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6 893 667 407,73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8 180 024 231,38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8 458 664 617,58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2 02 10000 00 0000 150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Дотации бюджетам бюджетной системы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38 040 000,00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2 02 19999 04 0000 150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дотации бюджетам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38 040 000,00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2 02 20000 00 0000 150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vAlign w:val="bottom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бюджетной системы Российской Федерации (межбюджетные субсидии)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2 644 744 310,21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3 741 733 877,74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3 774 746 005,74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2 02 20077 04 0000 150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vAlign w:val="bottom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1 336 889 113,01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2 542 157 824,70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2 139 302 040,00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2 02 20302 04 0000 150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vAlign w:val="bottom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29 820 408,61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2 02 25049 04 0000 150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vAlign w:val="bottom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адресное строительство школ в отдельных населенных пунктах с объективно выявленной потребностью инфраструктуры (зданий) школ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211 948 453,61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235 498 351,00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2 02 25054 04 0000 150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260 870 103,10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518 845 360,82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2 02 25081 04 0000 150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государственную поддержку организаций, входящих в систему спортивной подготовки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1 484 938,27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2 02 25133 04 0000 150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vAlign w:val="bottom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в целях софинансирования расходных обязательств, возникающих при осуществлении капитального ремонта объектов спортивной инфраструктуры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30 248 395,06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2 02 25349 04 0000 150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3 917 525,77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2 02 25424 04 0000 150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154 639 175,26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2 02 25441 04 0000 150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реализацию мероприятий комплексных планов по снижению выбросов загрязняющих веществ в атмосферный воздух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228 420 000,00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1 418 126 562,50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2 02 25467 04 0000 150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1 282 459,26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1 168 354,43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1 176 051,95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2 02 25497 04 0000 150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реализацию мероприятий по обеспечению жильем молодых семей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30 052 060,80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13 648 232,59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13 529 140,16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2 02 25513 04 0000 150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развитие сети учреждений культурно-досугового типа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24 845 360,83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2 02 25505 04 0000 150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26 858 938,75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2 02 25555 04 0000 150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округов на реализацию программ формирования современной городской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62 544 656,43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63 831 408,73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64 447 388,71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2 02 29999 04 0000 150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субсидии бюджетам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469 342 721,45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138 164 345,47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138 164 822,42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2 02 30000 00 0000 150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бюджетной системы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4 057 948 450,96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4 288 192 186,44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4 533 636 500,96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2 02 30024 04 0000 150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3 731 290 259,96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3 993 713 953,94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4 242 916 396,46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2 02 30029 04 0000 150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67 863 092,00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74 643 004,00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77 617 211,00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2 02 35082 04 0000 150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32 062 140,00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2 02 35120 04 0000 150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2 833 571,00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212 736,00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230 487,00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2 02 35304 04 0000 150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195 153 336,00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189 948 811,50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182 225 830,50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2 02 35930 04 0000 150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государственную регистрацию актов гражданского состояния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18 028 927,00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18 527 870,00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19 054 932,00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2 02 36900 04 0000 150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Единая субвенция бюджетам городских округов из бюджета субъекта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8 020 108,00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8 340 913,00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8 674 550,00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2 02 39999 04 0000 150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субвенции бюджетам городских округов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2 697 017,00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2 804 898,00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2 917 094,00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2 02 40000 00 0000 150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152 934 646,56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150 098 167,20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150 282 110,88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2 02 45050 04 0000 150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3 866 940,00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3 866 940,00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3 866 940,00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2 02 45179 04 0000 150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12 492 706,56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14 840 227,20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15 024 170,88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04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2 02 45303 04 0000 150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125 775 000,00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131 391 000,00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131 391 000,00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85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2 02 49999 04 0000 150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межбюджетные трансферты, передаваемые бюджетам городских округов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10 800 000,00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2 07 0000 0 00 0000 000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БЕЗВОЗМЕЗДНЫЕ ПОСТУПЛЕНИЯ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3 170 000,00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2 070 04050 04 0000 150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безвозмездные поступления в бюджеты городских округов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3 170 000,00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ind w:left="0" w:right="0" w:firstLine="0"/>
              <w:jc w:val="right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34"/>
              <w:contextualSpacing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211" w:type="dxa"/>
            <w:textDirection w:val="lrTb"/>
            <w:noWrap w:val="false"/>
          </w:tcPr>
          <w:p>
            <w:pPr>
              <w:pStyle w:val="734"/>
              <w:contextualSpacing/>
              <w:jc w:val="both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ДОХОДОВ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12 169 247 697,73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734"/>
              <w:contextualSpacing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12 981 112 041,38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128" w:type="dxa"/>
            <w:textDirection w:val="lrTb"/>
            <w:noWrap w:val="false"/>
          </w:tcPr>
          <w:p>
            <w:pPr>
              <w:pStyle w:val="734"/>
              <w:contextualSpacing/>
              <w:jc w:val="right"/>
              <w:spacing w:before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13 291 139 127,58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pStyle w:val="664"/>
        <w:contextualSpacing/>
        <w:ind w:left="0" w:right="0" w:firstLine="0"/>
        <w:spacing w:before="0"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  <w:bookmarkStart w:id="1" w:name="_GoBack"/>
      <w:r/>
      <w:bookmarkEnd w:id="1"/>
      <w:r/>
      <w:r>
        <w:rPr>
          <w:rFonts w:ascii="Times New Roman" w:hAnsi="Times New Roman"/>
          <w:sz w:val="24"/>
          <w:szCs w:val="24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w="16838" w:h="11906" w:orient="landscape"/>
      <w:pgMar w:top="1134" w:right="850" w:bottom="1134" w:left="1701" w:header="708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Noto Sans">
    <w:panose1 w:val="020B0502040504020204"/>
  </w:font>
  <w:font w:name="Liberation Sans">
    <w:panose1 w:val="020B060402020202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1"/>
      <w:jc w:val="center"/>
    </w:pPr>
    <w:fldSimple w:instr="PAGE \* MERGEFORMAT">
      <w:r>
        <w:t xml:space="preserve">1</w:t>
      </w:r>
    </w:fldSimple>
    <w:r/>
    <w:r/>
  </w:p>
  <w:p>
    <w:pPr>
      <w:pStyle w:val="731"/>
    </w:pP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9</w:t>
    </w:r>
    <w:r>
      <w:fldChar w:fldCharType="end"/>
    </w:r>
    <w:r/>
  </w:p>
  <w:p>
    <w:pPr>
      <w:pStyle w:val="73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13">
    <w:name w:val="No List"/>
    <w:uiPriority w:val="99"/>
    <w:semiHidden/>
    <w:unhideWhenUsed/>
  </w:style>
  <w:style w:type="paragraph" w:styleId="664" w:default="1">
    <w:name w:val="Normal"/>
    <w:qFormat/>
    <w:pPr>
      <w:jc w:val="left"/>
      <w:spacing w:before="0" w:after="200" w:line="276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65">
    <w:name w:val="Heading 1"/>
    <w:basedOn w:val="66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66">
    <w:name w:val="Heading 2"/>
    <w:basedOn w:val="6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7">
    <w:name w:val="Heading 3"/>
    <w:basedOn w:val="6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8">
    <w:name w:val="Heading 4"/>
    <w:basedOn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9">
    <w:name w:val="Heading 5"/>
    <w:basedOn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1">
    <w:name w:val="Heading 7"/>
    <w:basedOn w:val="6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66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1 Char"/>
    <w:basedOn w:val="697"/>
    <w:uiPriority w:val="9"/>
    <w:qFormat/>
    <w:rPr>
      <w:rFonts w:ascii="Arial" w:hAnsi="Arial" w:eastAsia="Arial" w:cs="Arial"/>
      <w:sz w:val="40"/>
      <w:szCs w:val="40"/>
    </w:rPr>
  </w:style>
  <w:style w:type="character" w:styleId="675">
    <w:name w:val="Heading 2 Char"/>
    <w:basedOn w:val="697"/>
    <w:uiPriority w:val="9"/>
    <w:qFormat/>
    <w:rPr>
      <w:rFonts w:ascii="Arial" w:hAnsi="Arial" w:eastAsia="Arial" w:cs="Arial"/>
      <w:sz w:val="34"/>
    </w:rPr>
  </w:style>
  <w:style w:type="character" w:styleId="676">
    <w:name w:val="Heading 3 Char"/>
    <w:basedOn w:val="697"/>
    <w:uiPriority w:val="9"/>
    <w:qFormat/>
    <w:rPr>
      <w:rFonts w:ascii="Arial" w:hAnsi="Arial" w:eastAsia="Arial" w:cs="Arial"/>
      <w:sz w:val="30"/>
      <w:szCs w:val="30"/>
    </w:rPr>
  </w:style>
  <w:style w:type="character" w:styleId="677">
    <w:name w:val="Heading 4 Char"/>
    <w:basedOn w:val="69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78">
    <w:name w:val="Heading 5 Char"/>
    <w:basedOn w:val="69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79">
    <w:name w:val="Heading 6 Char"/>
    <w:basedOn w:val="69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80">
    <w:name w:val="Heading 7 Char"/>
    <w:basedOn w:val="69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81">
    <w:name w:val="Heading 8 Char"/>
    <w:basedOn w:val="69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82">
    <w:name w:val="Heading 9 Char"/>
    <w:basedOn w:val="69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83">
    <w:name w:val="Title Char"/>
    <w:basedOn w:val="697"/>
    <w:uiPriority w:val="10"/>
    <w:qFormat/>
    <w:rPr>
      <w:sz w:val="48"/>
      <w:szCs w:val="48"/>
    </w:rPr>
  </w:style>
  <w:style w:type="character" w:styleId="684">
    <w:name w:val="Subtitle Char"/>
    <w:basedOn w:val="697"/>
    <w:uiPriority w:val="11"/>
    <w:qFormat/>
    <w:rPr>
      <w:sz w:val="24"/>
      <w:szCs w:val="24"/>
    </w:rPr>
  </w:style>
  <w:style w:type="character" w:styleId="685">
    <w:name w:val="Quote Char"/>
    <w:uiPriority w:val="29"/>
    <w:qFormat/>
    <w:rPr>
      <w:i/>
    </w:rPr>
  </w:style>
  <w:style w:type="character" w:styleId="686">
    <w:name w:val="Intense Quote Char"/>
    <w:uiPriority w:val="30"/>
    <w:qFormat/>
    <w:rPr>
      <w:i/>
    </w:rPr>
  </w:style>
  <w:style w:type="character" w:styleId="687">
    <w:name w:val="Header Char"/>
    <w:basedOn w:val="697"/>
    <w:uiPriority w:val="99"/>
    <w:qFormat/>
  </w:style>
  <w:style w:type="character" w:styleId="688">
    <w:name w:val="Footer Char"/>
    <w:basedOn w:val="697"/>
    <w:uiPriority w:val="99"/>
    <w:qFormat/>
  </w:style>
  <w:style w:type="character" w:styleId="689">
    <w:name w:val="Caption Char"/>
    <w:uiPriority w:val="99"/>
    <w:qFormat/>
  </w:style>
  <w:style w:type="character" w:styleId="690">
    <w:name w:val="Hyperlink"/>
    <w:uiPriority w:val="99"/>
    <w:unhideWhenUsed/>
    <w:rPr>
      <w:color w:val="0000ff" w:themeColor="hyperlink"/>
      <w:u w:val="single"/>
    </w:rPr>
  </w:style>
  <w:style w:type="character" w:styleId="691">
    <w:name w:val="Footnote Text Char"/>
    <w:uiPriority w:val="99"/>
    <w:qFormat/>
    <w:rPr>
      <w:sz w:val="18"/>
    </w:rPr>
  </w:style>
  <w:style w:type="character" w:styleId="692">
    <w:name w:val="Символ сноски"/>
    <w:uiPriority w:val="99"/>
    <w:unhideWhenUsed/>
    <w:qFormat/>
    <w:rPr>
      <w:vertAlign w:val="superscript"/>
    </w:rPr>
  </w:style>
  <w:style w:type="character" w:styleId="693">
    <w:name w:val="footnote reference"/>
    <w:rPr>
      <w:vertAlign w:val="superscript"/>
    </w:rPr>
  </w:style>
  <w:style w:type="character" w:styleId="694">
    <w:name w:val="Endnote Text Char"/>
    <w:uiPriority w:val="99"/>
    <w:qFormat/>
    <w:rPr>
      <w:sz w:val="20"/>
    </w:rPr>
  </w:style>
  <w:style w:type="character" w:styleId="69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96">
    <w:name w:val="endnote reference"/>
    <w:rPr>
      <w:vertAlign w:val="superscript"/>
    </w:rPr>
  </w:style>
  <w:style w:type="character" w:styleId="697" w:default="1">
    <w:name w:val="Default Paragraph Font"/>
    <w:uiPriority w:val="1"/>
    <w:semiHidden/>
    <w:unhideWhenUsed/>
    <w:qFormat/>
  </w:style>
  <w:style w:type="character" w:styleId="698" w:customStyle="1">
    <w:name w:val="Верхний колонтитул Знак"/>
    <w:basedOn w:val="697"/>
    <w:uiPriority w:val="99"/>
    <w:qFormat/>
  </w:style>
  <w:style w:type="character" w:styleId="699" w:customStyle="1">
    <w:name w:val="Нижний колонтитул Знак"/>
    <w:basedOn w:val="697"/>
    <w:uiPriority w:val="99"/>
    <w:semiHidden/>
    <w:qFormat/>
  </w:style>
  <w:style w:type="character" w:styleId="700" w:customStyle="1">
    <w:name w:val="Текст выноски Знак"/>
    <w:basedOn w:val="697"/>
    <w:uiPriority w:val="99"/>
    <w:semiHidden/>
    <w:qFormat/>
    <w:rPr>
      <w:rFonts w:ascii="Tahoma" w:hAnsi="Tahoma" w:cs="Tahoma"/>
      <w:sz w:val="16"/>
      <w:szCs w:val="16"/>
    </w:rPr>
  </w:style>
  <w:style w:type="character" w:styleId="701">
    <w:name w:val="Internet Link"/>
    <w:basedOn w:val="697"/>
    <w:uiPriority w:val="99"/>
    <w:semiHidden/>
    <w:unhideWhenUsed/>
    <w:qFormat/>
    <w:rPr>
      <w:color w:val="0000ff"/>
      <w:u w:val="single"/>
    </w:rPr>
  </w:style>
  <w:style w:type="paragraph" w:styleId="702">
    <w:name w:val="Заголовок"/>
    <w:basedOn w:val="664"/>
    <w:next w:val="703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03">
    <w:name w:val="Body Text"/>
    <w:basedOn w:val="664"/>
    <w:pPr>
      <w:spacing w:before="0" w:after="140" w:line="276" w:lineRule="auto"/>
    </w:pPr>
  </w:style>
  <w:style w:type="paragraph" w:styleId="704">
    <w:name w:val="List"/>
    <w:basedOn w:val="703"/>
    <w:rPr>
      <w:rFonts w:cs="Noto Sans"/>
    </w:rPr>
  </w:style>
  <w:style w:type="paragraph" w:styleId="705">
    <w:name w:val="Caption"/>
    <w:basedOn w:val="664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706">
    <w:name w:val="Указатель"/>
    <w:basedOn w:val="664"/>
    <w:qFormat/>
    <w:pPr>
      <w:suppressLineNumbers/>
    </w:pPr>
    <w:rPr>
      <w:rFonts w:cs="Noto Sans"/>
    </w:rPr>
  </w:style>
  <w:style w:type="paragraph" w:styleId="707">
    <w:name w:val="Заголовок (user)"/>
    <w:basedOn w:val="664"/>
    <w:next w:val="703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08">
    <w:name w:val="Указатель (user)"/>
    <w:basedOn w:val="664"/>
    <w:qFormat/>
    <w:pPr>
      <w:suppressLineNumbers/>
    </w:pPr>
    <w:rPr>
      <w:rFonts w:cs="Noto Sans"/>
    </w:rPr>
  </w:style>
  <w:style w:type="paragraph" w:styleId="709">
    <w:name w:val="List Paragraph"/>
    <w:basedOn w:val="664"/>
    <w:uiPriority w:val="34"/>
    <w:qFormat/>
    <w:pPr>
      <w:contextualSpacing/>
      <w:ind w:left="720"/>
      <w:spacing w:before="0" w:after="0"/>
    </w:pPr>
  </w:style>
  <w:style w:type="paragraph" w:styleId="710">
    <w:name w:val="No Spacing"/>
    <w:uiPriority w:val="1"/>
    <w:qFormat/>
    <w:pPr>
      <w:jc w:val="left"/>
      <w:spacing w:before="0" w:after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11">
    <w:name w:val="Title"/>
    <w:basedOn w:val="664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12">
    <w:name w:val="Subtitle"/>
    <w:basedOn w:val="664"/>
    <w:uiPriority w:val="11"/>
    <w:qFormat/>
    <w:pPr>
      <w:spacing w:before="200" w:after="200"/>
    </w:pPr>
    <w:rPr>
      <w:sz w:val="24"/>
      <w:szCs w:val="24"/>
    </w:rPr>
  </w:style>
  <w:style w:type="paragraph" w:styleId="713">
    <w:name w:val="Quote"/>
    <w:basedOn w:val="664"/>
    <w:uiPriority w:val="29"/>
    <w:qFormat/>
    <w:pPr>
      <w:ind w:left="720" w:right="720"/>
    </w:pPr>
    <w:rPr>
      <w:i/>
    </w:rPr>
  </w:style>
  <w:style w:type="paragraph" w:styleId="714">
    <w:name w:val="Intense Quote"/>
    <w:basedOn w:val="664"/>
    <w:uiPriority w:val="30"/>
    <w:qFormat/>
    <w:pPr>
      <w:ind w:left="720" w:right="72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15">
    <w:name w:val="footnote text"/>
    <w:basedOn w:val="664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16">
    <w:name w:val="endnote text"/>
    <w:basedOn w:val="664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17">
    <w:name w:val="toc 1"/>
    <w:basedOn w:val="664"/>
    <w:uiPriority w:val="39"/>
    <w:unhideWhenUsed/>
    <w:pPr>
      <w:ind w:left="0" w:right="0" w:firstLine="0"/>
      <w:spacing w:before="0" w:after="57"/>
    </w:pPr>
  </w:style>
  <w:style w:type="paragraph" w:styleId="718">
    <w:name w:val="toc 2"/>
    <w:basedOn w:val="664"/>
    <w:uiPriority w:val="39"/>
    <w:unhideWhenUsed/>
    <w:pPr>
      <w:ind w:left="283" w:right="0" w:firstLine="0"/>
      <w:spacing w:before="0" w:after="57"/>
    </w:pPr>
  </w:style>
  <w:style w:type="paragraph" w:styleId="719">
    <w:name w:val="toc 3"/>
    <w:basedOn w:val="664"/>
    <w:uiPriority w:val="39"/>
    <w:unhideWhenUsed/>
    <w:pPr>
      <w:ind w:left="567" w:right="0" w:firstLine="0"/>
      <w:spacing w:before="0" w:after="57"/>
    </w:pPr>
  </w:style>
  <w:style w:type="paragraph" w:styleId="720">
    <w:name w:val="toc 4"/>
    <w:basedOn w:val="664"/>
    <w:uiPriority w:val="39"/>
    <w:unhideWhenUsed/>
    <w:pPr>
      <w:ind w:left="850" w:right="0" w:firstLine="0"/>
      <w:spacing w:before="0" w:after="57"/>
    </w:pPr>
  </w:style>
  <w:style w:type="paragraph" w:styleId="721">
    <w:name w:val="toc 5"/>
    <w:basedOn w:val="664"/>
    <w:uiPriority w:val="39"/>
    <w:unhideWhenUsed/>
    <w:pPr>
      <w:ind w:left="1134" w:right="0" w:firstLine="0"/>
      <w:spacing w:before="0" w:after="57"/>
    </w:pPr>
  </w:style>
  <w:style w:type="paragraph" w:styleId="722">
    <w:name w:val="toc 6"/>
    <w:basedOn w:val="664"/>
    <w:uiPriority w:val="39"/>
    <w:unhideWhenUsed/>
    <w:pPr>
      <w:ind w:left="1417" w:right="0" w:firstLine="0"/>
      <w:spacing w:before="0" w:after="57"/>
    </w:pPr>
  </w:style>
  <w:style w:type="paragraph" w:styleId="723">
    <w:name w:val="toc 7"/>
    <w:basedOn w:val="664"/>
    <w:uiPriority w:val="39"/>
    <w:unhideWhenUsed/>
    <w:pPr>
      <w:ind w:left="1701" w:right="0" w:firstLine="0"/>
      <w:spacing w:before="0" w:after="57"/>
    </w:pPr>
  </w:style>
  <w:style w:type="paragraph" w:styleId="724">
    <w:name w:val="toc 8"/>
    <w:basedOn w:val="664"/>
    <w:uiPriority w:val="39"/>
    <w:unhideWhenUsed/>
    <w:pPr>
      <w:ind w:left="1984" w:right="0" w:firstLine="0"/>
      <w:spacing w:before="0" w:after="57"/>
    </w:pPr>
  </w:style>
  <w:style w:type="paragraph" w:styleId="725">
    <w:name w:val="toc 9"/>
    <w:basedOn w:val="664"/>
    <w:uiPriority w:val="39"/>
    <w:unhideWhenUsed/>
    <w:pPr>
      <w:ind w:left="2268" w:right="0" w:firstLine="0"/>
      <w:spacing w:before="0" w:after="57"/>
    </w:pPr>
  </w:style>
  <w:style w:type="paragraph" w:styleId="726">
    <w:name w:val="index heading"/>
    <w:basedOn w:val="707"/>
  </w:style>
  <w:style w:type="paragraph" w:styleId="727">
    <w:name w:val="TOC Heading"/>
    <w:uiPriority w:val="39"/>
    <w:unhideWhenUsed/>
    <w:qFormat/>
    <w:pPr>
      <w:jc w:val="left"/>
      <w:spacing w:before="0" w:after="0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28">
    <w:name w:val="table of figures"/>
    <w:basedOn w:val="664"/>
    <w:uiPriority w:val="99"/>
    <w:unhideWhenUsed/>
    <w:pPr>
      <w:spacing w:before="0" w:after="0" w:afterAutospacing="0"/>
    </w:pPr>
  </w:style>
  <w:style w:type="paragraph" w:styleId="729">
    <w:name w:val="Колонтитул"/>
    <w:basedOn w:val="664"/>
    <w:qFormat/>
  </w:style>
  <w:style w:type="paragraph" w:styleId="730">
    <w:name w:val="Header and Footer"/>
    <w:basedOn w:val="664"/>
    <w:qFormat/>
  </w:style>
  <w:style w:type="paragraph" w:styleId="731">
    <w:name w:val="Header"/>
    <w:basedOn w:val="664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32">
    <w:name w:val="Footer"/>
    <w:basedOn w:val="664"/>
    <w:uiPriority w:val="99"/>
    <w:semiHidden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33">
    <w:name w:val="Balloon Text"/>
    <w:basedOn w:val="664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734">
    <w:name w:val="Содержимое таблицы"/>
    <w:basedOn w:val="664"/>
    <w:qFormat/>
    <w:pPr>
      <w:widowControl w:val="off"/>
      <w:suppressLineNumbers/>
    </w:pPr>
  </w:style>
  <w:style w:type="paragraph" w:styleId="735">
    <w:name w:val="Заголовок таблицы"/>
    <w:basedOn w:val="734"/>
    <w:qFormat/>
    <w:pPr>
      <w:jc w:val="center"/>
      <w:suppressLineNumbers/>
    </w:pPr>
    <w:rPr>
      <w:b/>
      <w:bCs/>
    </w:rPr>
  </w:style>
  <w:style w:type="paragraph" w:styleId="736">
    <w:name w:val="Содержимое таблицы (user)"/>
    <w:basedOn w:val="664"/>
    <w:qFormat/>
    <w:pPr>
      <w:widowControl w:val="off"/>
      <w:suppressLineNumbers/>
    </w:pPr>
  </w:style>
  <w:style w:type="paragraph" w:styleId="737">
    <w:name w:val="Заголовок таблицы (user)"/>
    <w:basedOn w:val="736"/>
    <w:qFormat/>
    <w:pPr>
      <w:jc w:val="center"/>
      <w:suppressLineNumbers/>
    </w:pPr>
    <w:rPr>
      <w:b/>
      <w:bCs/>
    </w:rPr>
  </w:style>
  <w:style w:type="numbering" w:styleId="738" w:default="1">
    <w:name w:val="Без списка"/>
    <w:uiPriority w:val="99"/>
    <w:semiHidden/>
    <w:unhideWhenUsed/>
    <w:qFormat/>
  </w:style>
  <w:style w:type="table" w:styleId="739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42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43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44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45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6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4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4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4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3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68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ce6f1" w:themeFill="accent1" w:themeFillTint="32"/>
      </w:tcPr>
    </w:tblStylePr>
    <w:tblStylePr w:type="band1Vert">
      <w:rPr>
        <w:sz w:val="22"/>
      </w:rPr>
      <w:tcPr>
        <w:shd w:val="clear" w:color="ffffff" w:fill="dce6f1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d8d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769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770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a59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771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772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773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774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77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</w:style>
  <w:style w:type="table" w:styleId="77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</w:style>
  <w:style w:type="table" w:styleId="781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8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3e70a3" w:themeColor="accent1" w:themeTint="80" w:themeShade="95"/>
        <w:sz w:val="22"/>
      </w:rPr>
    </w:tblStylePr>
  </w:style>
  <w:style w:type="table" w:styleId="78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78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5c702f" w:themeColor="accent3" w:themeTint="FE" w:themeShade="95"/>
        <w:sz w:val="22"/>
      </w:rPr>
    </w:tblStylePr>
  </w:style>
  <w:style w:type="table" w:styleId="78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78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78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788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03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04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05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06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07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08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09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0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1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2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3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4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1cd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5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9bf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6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7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8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9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0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1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2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3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2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2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4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2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2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2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1cddc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2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9bf90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0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3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3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3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3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3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37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3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a4b71" w:themeColor="accent1" w:themeShade="95"/>
        <w:sz w:val="22"/>
      </w:rPr>
    </w:tblStylePr>
  </w:style>
  <w:style w:type="table" w:styleId="83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4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84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4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84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844">
    <w:name w:val="Lined - Accen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45">
    <w:name w:val="Lined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846">
    <w:name w:val="Lined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847">
    <w:name w:val="Lined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848">
    <w:name w:val="Lined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849">
    <w:name w:val="Lined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850">
    <w:name w:val="Lined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851">
    <w:name w:val="Bordered &amp; Lined - Accen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52">
    <w:name w:val="Bordered &amp; Lin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853">
    <w:name w:val="Bordered &amp; Lin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854">
    <w:name w:val="Bordered &amp; Lin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855">
    <w:name w:val="Bordered &amp; Lin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856">
    <w:name w:val="Bordered &amp; Lin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857">
    <w:name w:val="Bordered &amp; Lin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858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59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0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61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62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63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64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6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209a</dc:creator>
  <dc:description/>
  <dc:language>ru-RU</dc:language>
  <cp:lastModifiedBy>tasun_tv</cp:lastModifiedBy>
  <cp:revision>292</cp:revision>
  <dcterms:created xsi:type="dcterms:W3CDTF">2018-11-30T08:07:00Z</dcterms:created>
  <dcterms:modified xsi:type="dcterms:W3CDTF">2026-05-08T02:32:15Z</dcterms:modified>
</cp:coreProperties>
</file>